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Arial" w:hAnsi="Arial" w:cs="Arial"/>
          <w:b/>
          <w:sz w:val="28"/>
          <w:szCs w:val="28"/>
          <w:lang w:val="it-CH"/>
        </w:rPr>
      </w:pPr>
      <w:r>
        <w:rPr>
          <w:rFonts w:ascii="Arial" w:hAnsi="Arial" w:cs="Arial"/>
          <w:b/>
          <w:sz w:val="28"/>
          <w:szCs w:val="28"/>
          <w:lang w:val="it-CH"/>
        </w:rPr>
        <w:t>Nota esplicativa alla versione di Omnia del 21 luglio 2014</w:t>
      </w:r>
    </w:p>
    <w:p>
      <w:pPr>
        <w:rPr>
          <w:rFonts w:ascii="Arial" w:hAnsi="Arial" w:cs="Arial"/>
          <w:b/>
          <w:sz w:val="28"/>
          <w:szCs w:val="28"/>
          <w:lang w:val="it-CH"/>
        </w:rPr>
      </w:pPr>
    </w:p>
    <w:p>
      <w:pPr>
        <w:jc w:val="both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>Nell’estate del 2013 è entrata in vigore la nuova versione delle Direttive di tecnica legislativa (</w:t>
      </w:r>
      <w:proofErr w:type="spellStart"/>
      <w:r>
        <w:rPr>
          <w:rFonts w:ascii="Arial" w:hAnsi="Arial" w:cs="Arial"/>
          <w:sz w:val="24"/>
          <w:szCs w:val="24"/>
          <w:lang w:val="it-CH"/>
        </w:rPr>
        <w:t>DTL</w:t>
      </w:r>
      <w:proofErr w:type="spellEnd"/>
      <w:r>
        <w:rPr>
          <w:rFonts w:ascii="Arial" w:hAnsi="Arial" w:cs="Arial"/>
          <w:sz w:val="24"/>
          <w:szCs w:val="24"/>
          <w:lang w:val="it-CH"/>
        </w:rPr>
        <w:t xml:space="preserve">) edite dalla Cancelleria federale. Lo strumento Omnia, raccolta di modelli commentati dei testi inerenti alla procedura legislativa, si basa in larga misura sulle </w:t>
      </w:r>
      <w:proofErr w:type="spellStart"/>
      <w:r>
        <w:rPr>
          <w:rFonts w:ascii="Arial" w:hAnsi="Arial" w:cs="Arial"/>
          <w:sz w:val="24"/>
          <w:szCs w:val="24"/>
          <w:lang w:val="it-CH"/>
        </w:rPr>
        <w:t>DTL</w:t>
      </w:r>
      <w:proofErr w:type="spellEnd"/>
      <w:r>
        <w:rPr>
          <w:rFonts w:ascii="Arial" w:hAnsi="Arial" w:cs="Arial"/>
          <w:sz w:val="24"/>
          <w:szCs w:val="24"/>
          <w:lang w:val="it-CH"/>
        </w:rPr>
        <w:t xml:space="preserve">, specie per quanto riguarda gli atti normativi. La versione di Omnia del 21 luglio 2014 tiene conto delle novità introdotte dalle nuove </w:t>
      </w:r>
      <w:proofErr w:type="spellStart"/>
      <w:r>
        <w:rPr>
          <w:rFonts w:ascii="Arial" w:hAnsi="Arial" w:cs="Arial"/>
          <w:sz w:val="24"/>
          <w:szCs w:val="24"/>
          <w:lang w:val="it-CH"/>
        </w:rPr>
        <w:t>DTL</w:t>
      </w:r>
      <w:proofErr w:type="spellEnd"/>
      <w:r>
        <w:rPr>
          <w:rFonts w:ascii="Arial" w:hAnsi="Arial" w:cs="Arial"/>
          <w:sz w:val="24"/>
          <w:szCs w:val="24"/>
          <w:lang w:val="it-CH"/>
        </w:rPr>
        <w:t xml:space="preserve">, ma anche di alcuni sviluppi recenti intervenuti nella prassi relativa a documenti che esulano dalle </w:t>
      </w:r>
      <w:proofErr w:type="spellStart"/>
      <w:r>
        <w:rPr>
          <w:rFonts w:ascii="Arial" w:hAnsi="Arial" w:cs="Arial"/>
          <w:sz w:val="24"/>
          <w:szCs w:val="24"/>
          <w:lang w:val="it-CH"/>
        </w:rPr>
        <w:t>DTL</w:t>
      </w:r>
      <w:proofErr w:type="spellEnd"/>
      <w:r>
        <w:rPr>
          <w:rFonts w:ascii="Arial" w:hAnsi="Arial" w:cs="Arial"/>
          <w:sz w:val="24"/>
          <w:szCs w:val="24"/>
          <w:lang w:val="it-CH"/>
        </w:rPr>
        <w:t xml:space="preserve"> (in </w:t>
      </w:r>
      <w:proofErr w:type="spellStart"/>
      <w:r>
        <w:rPr>
          <w:rFonts w:ascii="Arial" w:hAnsi="Arial" w:cs="Arial"/>
          <w:sz w:val="24"/>
          <w:szCs w:val="24"/>
          <w:lang w:val="it-CH"/>
        </w:rPr>
        <w:t>special</w:t>
      </w:r>
      <w:proofErr w:type="spellEnd"/>
      <w:r>
        <w:rPr>
          <w:rFonts w:ascii="Arial" w:hAnsi="Arial" w:cs="Arial"/>
          <w:sz w:val="24"/>
          <w:szCs w:val="24"/>
          <w:lang w:val="it-CH"/>
        </w:rPr>
        <w:t xml:space="preserve"> modo nei messaggi e nelle spiegazioni del Consiglio federale concernenti le votazioni popolari).</w:t>
      </w:r>
    </w:p>
    <w:p>
      <w:pPr>
        <w:jc w:val="both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 xml:space="preserve">Per lasciare comunque traccia delle diciture ed espressioni anteriori e indicare in modo chiaro le novità delle </w:t>
      </w:r>
      <w:proofErr w:type="spellStart"/>
      <w:r>
        <w:rPr>
          <w:rFonts w:ascii="Arial" w:hAnsi="Arial" w:cs="Arial"/>
          <w:sz w:val="24"/>
          <w:szCs w:val="24"/>
          <w:lang w:val="it-CH"/>
        </w:rPr>
        <w:t>DTL</w:t>
      </w:r>
      <w:proofErr w:type="spellEnd"/>
      <w:r>
        <w:rPr>
          <w:rFonts w:ascii="Arial" w:hAnsi="Arial" w:cs="Arial"/>
          <w:sz w:val="24"/>
          <w:szCs w:val="24"/>
          <w:lang w:val="it-CH"/>
        </w:rPr>
        <w:t>, le parti sostituite sono state cassate, lasciandole nel modello, mentre le nuove diciture ed espressioni, nonché le relative note in calce, sono state evidenziate in colore verde. Esempio:</w:t>
      </w:r>
    </w:p>
    <w:p>
      <w:pPr>
        <w:rPr>
          <w:rFonts w:ascii="Arial" w:hAnsi="Arial" w:cs="Arial"/>
          <w:sz w:val="24"/>
          <w:szCs w:val="24"/>
          <w:lang w:val="it-CH"/>
        </w:rPr>
      </w:pPr>
    </w:p>
    <w:p>
      <w:pPr>
        <w:pStyle w:val="Titolo9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clear" w:pos="1134"/>
        </w:tabs>
        <w:ind w:left="1701"/>
        <w:rPr>
          <w:lang w:val="it-CH"/>
        </w:rPr>
      </w:pPr>
      <w:bookmarkStart w:id="0" w:name="_Toc265748634"/>
      <w:bookmarkStart w:id="1" w:name="_Toc265749019"/>
      <w:bookmarkStart w:id="2" w:name="_Toc265755026"/>
      <w:r>
        <w:rPr>
          <w:bCs/>
          <w:lang w:val="it-CH"/>
        </w:rPr>
        <w:t>Art. 28</w:t>
      </w:r>
      <w:r>
        <w:rPr>
          <w:i/>
          <w:color w:val="FFFFFF"/>
          <w:lang w:val="it-CH"/>
        </w:rPr>
        <w:tab/>
      </w:r>
      <w:r>
        <w:rPr>
          <w:b w:val="0"/>
          <w:lang w:val="it-CH"/>
        </w:rPr>
        <w:t xml:space="preserve">Modifica </w:t>
      </w:r>
      <w:r>
        <w:rPr>
          <w:b w:val="0"/>
          <w:highlight w:val="green"/>
          <w:lang w:val="it-CH"/>
        </w:rPr>
        <w:t>di altri atti normativi</w:t>
      </w:r>
      <w:r>
        <w:rPr>
          <w:b w:val="0"/>
          <w:lang w:val="it-CH"/>
        </w:rPr>
        <w:t xml:space="preserve"> </w:t>
      </w:r>
      <w:r>
        <w:rPr>
          <w:b w:val="0"/>
          <w:strike/>
          <w:lang w:val="it-CH"/>
        </w:rPr>
        <w:t>del diritto vigente</w:t>
      </w:r>
      <w:bookmarkEnd w:id="0"/>
      <w:bookmarkEnd w:id="1"/>
      <w:bookmarkEnd w:id="2"/>
    </w:p>
    <w:p>
      <w:pPr>
        <w:pStyle w:val="Absatz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ind w:left="567"/>
        <w:rPr>
          <w:lang w:val="it-CH"/>
        </w:rPr>
      </w:pPr>
      <w:r>
        <w:rPr>
          <w:lang w:val="it-CH"/>
        </w:rPr>
        <w:t xml:space="preserve">La modifica </w:t>
      </w:r>
      <w:r>
        <w:rPr>
          <w:highlight w:val="green"/>
          <w:lang w:val="it-CH"/>
        </w:rPr>
        <w:t>di altri atti normativi</w:t>
      </w:r>
      <w:r>
        <w:rPr>
          <w:b/>
          <w:lang w:val="it-CH"/>
        </w:rPr>
        <w:t xml:space="preserve"> </w:t>
      </w:r>
      <w:r>
        <w:rPr>
          <w:strike/>
          <w:lang w:val="it-CH"/>
        </w:rPr>
        <w:t>del diritto vigente</w:t>
      </w:r>
      <w:r>
        <w:rPr>
          <w:lang w:val="it-CH"/>
        </w:rPr>
        <w:t xml:space="preserve"> è disciplinata nell’allegato.</w:t>
      </w:r>
    </w:p>
    <w:p>
      <w:pPr>
        <w:rPr>
          <w:rFonts w:ascii="Arial" w:hAnsi="Arial" w:cs="Arial"/>
          <w:sz w:val="24"/>
          <w:szCs w:val="24"/>
          <w:lang w:val="it-CH"/>
        </w:rPr>
      </w:pPr>
    </w:p>
    <w:p>
      <w:pPr>
        <w:rPr>
          <w:rFonts w:ascii="Arial" w:hAnsi="Arial" w:cs="Arial"/>
          <w:sz w:val="24"/>
          <w:szCs w:val="24"/>
          <w:lang w:val="it-CH"/>
        </w:rPr>
      </w:pPr>
    </w:p>
    <w:p>
      <w:pPr>
        <w:jc w:val="both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 xml:space="preserve">Le novità che esulano dalle </w:t>
      </w:r>
      <w:proofErr w:type="spellStart"/>
      <w:r>
        <w:rPr>
          <w:rFonts w:ascii="Arial" w:hAnsi="Arial" w:cs="Arial"/>
          <w:sz w:val="24"/>
          <w:szCs w:val="24"/>
          <w:lang w:val="it-CH"/>
        </w:rPr>
        <w:t>DTL</w:t>
      </w:r>
      <w:proofErr w:type="spellEnd"/>
      <w:r>
        <w:rPr>
          <w:rFonts w:ascii="Arial" w:hAnsi="Arial" w:cs="Arial"/>
          <w:sz w:val="24"/>
          <w:szCs w:val="24"/>
          <w:lang w:val="it-CH"/>
        </w:rPr>
        <w:t>, e le relative note a piè di pagina, sono invece state evidenziate in colore rosso. Esempio:</w:t>
      </w:r>
    </w:p>
    <w:p>
      <w:pPr>
        <w:rPr>
          <w:rFonts w:ascii="Arial" w:hAnsi="Arial" w:cs="Arial"/>
          <w:sz w:val="24"/>
          <w:szCs w:val="24"/>
          <w:lang w:val="it-CH"/>
        </w:rPr>
      </w:pPr>
    </w:p>
    <w:p>
      <w:pPr>
        <w:pStyle w:val="12nnnnnnnnn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0" w:color="auto"/>
        </w:pBdr>
        <w:spacing w:before="0" w:line="360" w:lineRule="auto"/>
        <w:ind w:left="567"/>
        <w:rPr>
          <w:rFonts w:ascii="Arial" w:hAnsi="Arial" w:cs="Arial"/>
          <w:b/>
          <w:spacing w:val="0"/>
          <w:sz w:val="22"/>
          <w:szCs w:val="22"/>
          <w:lang w:val="it-IT"/>
        </w:rPr>
      </w:pPr>
      <w:r>
        <w:rPr>
          <w:rFonts w:ascii="Arial" w:hAnsi="Arial" w:cs="Arial"/>
          <w:b/>
          <w:spacing w:val="0"/>
          <w:sz w:val="22"/>
          <w:szCs w:val="22"/>
          <w:lang w:val="it-IT"/>
        </w:rPr>
        <w:t xml:space="preserve">Il Consiglio federale </w:t>
      </w:r>
      <w:r>
        <w:rPr>
          <w:rFonts w:ascii="Arial" w:hAnsi="Arial" w:cs="Arial"/>
          <w:b/>
          <w:spacing w:val="0"/>
          <w:sz w:val="22"/>
          <w:szCs w:val="22"/>
          <w:highlight w:val="red"/>
          <w:lang w:val="it-IT"/>
        </w:rPr>
        <w:t xml:space="preserve">respinge </w:t>
      </w:r>
      <w:r>
        <w:rPr>
          <w:rFonts w:ascii="Arial" w:hAnsi="Arial" w:cs="Arial"/>
          <w:b/>
          <w:strike/>
          <w:spacing w:val="0"/>
          <w:sz w:val="22"/>
          <w:szCs w:val="22"/>
          <w:lang w:val="it-IT"/>
        </w:rPr>
        <w:t xml:space="preserve">propone di respingere </w:t>
      </w:r>
      <w:r>
        <w:rPr>
          <w:rFonts w:ascii="Arial" w:hAnsi="Arial" w:cs="Arial"/>
          <w:b/>
          <w:spacing w:val="0"/>
          <w:sz w:val="22"/>
          <w:szCs w:val="22"/>
          <w:lang w:val="it-IT"/>
        </w:rPr>
        <w:t>l’iniziativa,</w:t>
      </w:r>
      <w:r>
        <w:rPr>
          <w:rFonts w:ascii="Arial" w:hAnsi="Arial" w:cs="Arial"/>
          <w:b/>
          <w:spacing w:val="0"/>
          <w:sz w:val="22"/>
          <w:szCs w:val="22"/>
          <w:highlight w:val="red"/>
          <w:lang w:val="it-IT"/>
        </w:rPr>
        <w:t xml:space="preserve"> in particolare per i motivi esposti qui di seguito.</w:t>
      </w:r>
      <w:r>
        <w:rPr>
          <w:rFonts w:ascii="Arial" w:hAnsi="Arial" w:cs="Arial"/>
          <w:b/>
          <w:spacing w:val="0"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strike/>
          <w:spacing w:val="0"/>
          <w:sz w:val="22"/>
          <w:szCs w:val="22"/>
          <w:lang w:val="it-IT"/>
        </w:rPr>
        <w:t>per le seguenti ragioni:</w:t>
      </w:r>
    </w:p>
    <w:p>
      <w:pPr>
        <w:rPr>
          <w:rFonts w:ascii="Arial" w:hAnsi="Arial" w:cs="Arial"/>
          <w:sz w:val="24"/>
          <w:szCs w:val="24"/>
          <w:lang w:val="it-IT"/>
        </w:rPr>
      </w:pPr>
    </w:p>
    <w:p>
      <w:pPr>
        <w:rPr>
          <w:rFonts w:ascii="Arial" w:hAnsi="Arial" w:cs="Arial"/>
          <w:sz w:val="24"/>
          <w:szCs w:val="24"/>
          <w:lang w:val="it-IT"/>
        </w:rPr>
      </w:pPr>
    </w:p>
    <w:p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CH"/>
        </w:rPr>
        <w:t>Si noti che in questa nuova versione le pagine dello strumento sono numerate progressivamente.</w:t>
      </w:r>
    </w:p>
    <w:sectPr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ocumentProtection w:edit="readOnly" w:enforcement="1" w:cryptProviderType="rsaFull" w:cryptAlgorithmClass="hash" w:cryptAlgorithmType="typeAny" w:cryptAlgorithmSid="4" w:cryptSpinCount="100000" w:hash="Syo1gFQAXKJNrNTT+R//30aLNJc=" w:salt="TcrVLkyAhFoSKr3A2wNjDg==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paragraph" w:styleId="Titolo9">
    <w:name w:val="heading 9"/>
    <w:link w:val="Titolo9Carattere"/>
    <w:qFormat/>
    <w:pPr>
      <w:keepNext/>
      <w:keepLines/>
      <w:tabs>
        <w:tab w:val="left" w:pos="1134"/>
      </w:tabs>
      <w:overflowPunct w:val="0"/>
      <w:autoSpaceDE w:val="0"/>
      <w:autoSpaceDN w:val="0"/>
      <w:adjustRightInd w:val="0"/>
      <w:spacing w:before="280" w:line="200" w:lineRule="exact"/>
      <w:ind w:left="1134" w:hanging="1134"/>
      <w:textAlignment w:val="baseline"/>
      <w:outlineLvl w:val="8"/>
    </w:pPr>
    <w:rPr>
      <w:rFonts w:ascii="Times New Roman" w:eastAsia="Times New Roman" w:hAnsi="Times New Roman"/>
      <w:b/>
      <w:noProof/>
      <w:sz w:val="18"/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Pr>
      <w:rFonts w:ascii="Times New Roman" w:eastAsia="Times New Roman" w:hAnsi="Times New Roman"/>
      <w:b/>
      <w:noProof/>
      <w:sz w:val="18"/>
      <w:lang w:val="de-DE" w:eastAsia="en-US"/>
    </w:rPr>
  </w:style>
  <w:style w:type="paragraph" w:customStyle="1" w:styleId="Absatz">
    <w:name w:val="Absatz"/>
    <w:link w:val="AbsatzCarattere"/>
    <w:pPr>
      <w:overflowPunct w:val="0"/>
      <w:autoSpaceDE w:val="0"/>
      <w:autoSpaceDN w:val="0"/>
      <w:adjustRightInd w:val="0"/>
      <w:spacing w:before="80" w:line="200" w:lineRule="exact"/>
      <w:jc w:val="both"/>
      <w:textAlignment w:val="baseline"/>
    </w:pPr>
    <w:rPr>
      <w:rFonts w:ascii="Times New Roman" w:eastAsia="Times New Roman" w:hAnsi="Times New Roman"/>
      <w:noProof/>
      <w:sz w:val="18"/>
      <w:lang w:val="en-GB" w:eastAsia="en-US"/>
    </w:rPr>
  </w:style>
  <w:style w:type="character" w:customStyle="1" w:styleId="AbsatzCarattere">
    <w:name w:val="Absatz Carattere"/>
    <w:basedOn w:val="Carpredefinitoparagrafo"/>
    <w:link w:val="Absatz"/>
    <w:rPr>
      <w:rFonts w:ascii="Times New Roman" w:eastAsia="Times New Roman" w:hAnsi="Times New Roman"/>
      <w:noProof/>
      <w:sz w:val="18"/>
      <w:lang w:val="en-GB" w:eastAsia="en-US"/>
    </w:rPr>
  </w:style>
  <w:style w:type="paragraph" w:customStyle="1" w:styleId="12nnnnnnnnn">
    <w:name w:val="12nnnnnnnnn"/>
    <w:basedOn w:val="Normale"/>
    <w:pPr>
      <w:spacing w:before="200" w:after="0" w:line="260" w:lineRule="atLeast"/>
    </w:pPr>
    <w:rPr>
      <w:rFonts w:ascii="Helvetica" w:eastAsia="Arial Unicode MS" w:hAnsi="Helvetica" w:cs="Arial Unicode MS"/>
      <w:spacing w:val="5"/>
      <w:sz w:val="24"/>
      <w:szCs w:val="24"/>
      <w:lang w:val="de-CH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doc_FSCFOLIO_1_1001_FieldDocumentNumber" par="" text=""/>
    <f:field ref="doc_FSCFOLIO_1_1001_FieldSubject" par="" edit="true" text=""/>
    <f:field ref="FSCFOLIO_1_1001_FieldCurrentUser" par="" text="Dominik Vieghofer"/>
  </f:record>
  <f:display par="" text="...">
    <f:field ref="FSCFOLIO_1_1001_FieldCurrentUser" text="Aktueller Benutzer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8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Fabasoft R&amp;D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 Sabine BK</dc:creator>
  <cp:lastModifiedBy>mjbk SSI</cp:lastModifiedBy>
  <cp:revision>13</cp:revision>
  <dcterms:created xsi:type="dcterms:W3CDTF">2011-11-15T15:15:00Z</dcterms:created>
  <dcterms:modified xsi:type="dcterms:W3CDTF">2014-07-21T15:24:00Z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KCFG@15.1700:FileResponsible">
    <vt:lpwstr/>
  </property>
  <property fmtid="{D5CDD505-2E9C-101B-9397-08002B2CF9AE}" pid="3" name="FSC#BKCFG@15.1700:FileResponsibleTel">
    <vt:lpwstr/>
  </property>
  <property fmtid="{D5CDD505-2E9C-101B-9397-08002B2CF9AE}" pid="4" name="FSC#BKCFG@15.1700:FileResponsibleEmail">
    <vt:lpwstr/>
  </property>
  <property fmtid="{D5CDD505-2E9C-101B-9397-08002B2CF9AE}" pid="5" name="FSC#BKCFG@15.1700:FileResponsibleFax">
    <vt:lpwstr/>
  </property>
  <property fmtid="{D5CDD505-2E9C-101B-9397-08002B2CF9AE}" pid="6" name="FSC#BKCFG@15.1700:FileResponsibleAddress">
    <vt:lpwstr/>
  </property>
  <property fmtid="{D5CDD505-2E9C-101B-9397-08002B2CF9AE}" pid="7" name="FSC#BKCFG@15.1700:FileResponsibleStreet">
    <vt:lpwstr/>
  </property>
  <property fmtid="{D5CDD505-2E9C-101B-9397-08002B2CF9AE}" pid="8" name="FSC#BKCFG@15.1700:FileResponsiblezipcode">
    <vt:lpwstr/>
  </property>
  <property fmtid="{D5CDD505-2E9C-101B-9397-08002B2CF9AE}" pid="9" name="FSC#BKCFG@15.1700:FileResponsiblecity">
    <vt:lpwstr/>
  </property>
  <property fmtid="{D5CDD505-2E9C-101B-9397-08002B2CF9AE}" pid="10" name="FSC#BKCFG@15.1700:FileResponsibleAbbreviation">
    <vt:lpwstr/>
  </property>
  <property fmtid="{D5CDD505-2E9C-101B-9397-08002B2CF9AE}" pid="11" name="FSC#BKCFG@15.1700:FileRespOrg_DE">
    <vt:lpwstr>Zentrale Sprachdienste Abteilung Italienisch</vt:lpwstr>
  </property>
  <property fmtid="{D5CDD505-2E9C-101B-9397-08002B2CF9AE}" pid="12" name="FSC#BKCFG@15.1700:FileRespOrg_FR">
    <vt:lpwstr>Services linguistiques centraux Division italienne</vt:lpwstr>
  </property>
  <property fmtid="{D5CDD505-2E9C-101B-9397-08002B2CF9AE}" pid="13" name="FSC#BKCFG@15.1700:FileRespOrg_IT">
    <vt:lpwstr>Servizi linguistici centrali Divisione italiana</vt:lpwstr>
  </property>
  <property fmtid="{D5CDD505-2E9C-101B-9397-08002B2CF9AE}" pid="14" name="FSC#BKCFG@15.1700:FileRespOrg_EN">
    <vt:lpwstr>Central Language Services Italian Division</vt:lpwstr>
  </property>
  <property fmtid="{D5CDD505-2E9C-101B-9397-08002B2CF9AE}" pid="15" name="FSC#BKCFG@15.1700:FileRespOrgHome">
    <vt:lpwstr>Gurtengasse 4, 3003 Bern</vt:lpwstr>
  </property>
  <property fmtid="{D5CDD505-2E9C-101B-9397-08002B2CF9AE}" pid="16" name="FSC#BKCFG@15.1700:FileRespFunction_DE">
    <vt:lpwstr/>
  </property>
  <property fmtid="{D5CDD505-2E9C-101B-9397-08002B2CF9AE}" pid="17" name="FSC#BKCFG@15.1700:FileRespFunction_FR">
    <vt:lpwstr/>
  </property>
  <property fmtid="{D5CDD505-2E9C-101B-9397-08002B2CF9AE}" pid="18" name="FSC#BKCFG@15.1700:FileRespFunction_IT">
    <vt:lpwstr/>
  </property>
  <property fmtid="{D5CDD505-2E9C-101B-9397-08002B2CF9AE}" pid="19" name="FSC#BKCFG@15.1700:FileRespFunction_EN">
    <vt:lpwstr/>
  </property>
  <property fmtid="{D5CDD505-2E9C-101B-9397-08002B2CF9AE}" pid="20" name="FSC#BKCFG@15.1700:CurrUserAbbreviation">
    <vt:lpwstr>bv</vt:lpwstr>
  </property>
  <property fmtid="{D5CDD505-2E9C-101B-9397-08002B2CF9AE}" pid="21" name="FSC#BKCFG@15.1700:CategoryReference">
    <vt:lpwstr>033.162</vt:lpwstr>
  </property>
  <property fmtid="{D5CDD505-2E9C-101B-9397-08002B2CF9AE}" pid="22" name="FSC#BKCFG@15.1700:AssignedClassification_DE">
    <vt:lpwstr>Intern</vt:lpwstr>
  </property>
  <property fmtid="{D5CDD505-2E9C-101B-9397-08002B2CF9AE}" pid="23" name="FSC#BKCFG@15.1700:AssignedClassification_FR">
    <vt:lpwstr>Interne</vt:lpwstr>
  </property>
  <property fmtid="{D5CDD505-2E9C-101B-9397-08002B2CF9AE}" pid="24" name="FSC#BKCFG@15.1700:AssignedClassification_IT">
    <vt:lpwstr>Interno</vt:lpwstr>
  </property>
  <property fmtid="{D5CDD505-2E9C-101B-9397-08002B2CF9AE}" pid="25" name="FSC#BKCFG@15.1700:AssignedClassification_EN">
    <vt:lpwstr>Internal</vt:lpwstr>
  </property>
  <property fmtid="{D5CDD505-2E9C-101B-9397-08002B2CF9AE}" pid="26" name="FSC#BKCFG@15.1700:documentid">
    <vt:lpwstr/>
  </property>
  <property fmtid="{D5CDD505-2E9C-101B-9397-08002B2CF9AE}" pid="27" name="FSC#BKCFG@15.1700:cooAddress">
    <vt:lpwstr>COO.2094.301.6.2137405</vt:lpwstr>
  </property>
  <property fmtid="{D5CDD505-2E9C-101B-9397-08002B2CF9AE}" pid="28" name="FSC#BKCFG@15.1700:sleeveFileReference">
    <vt:lpwstr>033.162/2010/00958</vt:lpwstr>
  </property>
  <property fmtid="{D5CDD505-2E9C-101B-9397-08002B2CF9AE}" pid="29" name="FSC#COOSYSTEM@1.1:Container">
    <vt:lpwstr>COO.2094.301.6.2137405</vt:lpwstr>
  </property>
  <property fmtid="{D5CDD505-2E9C-101B-9397-08002B2CF9AE}" pid="30" name="FSC#COOELAK@1.1001:Subject">
    <vt:lpwstr/>
  </property>
  <property fmtid="{D5CDD505-2E9C-101B-9397-08002B2CF9AE}" pid="31" name="FSC#COOELAK@1.1001:FileReference">
    <vt:lpwstr>0958e-2010</vt:lpwstr>
  </property>
  <property fmtid="{D5CDD505-2E9C-101B-9397-08002B2CF9AE}" pid="32" name="FSC#COOELAK@1.1001:FileRefYear">
    <vt:lpwstr>2010</vt:lpwstr>
  </property>
  <property fmtid="{D5CDD505-2E9C-101B-9397-08002B2CF9AE}" pid="33" name="FSC#COOELAK@1.1001:FileRefOrdinal">
    <vt:lpwstr>958</vt:lpwstr>
  </property>
  <property fmtid="{D5CDD505-2E9C-101B-9397-08002B2CF9AE}" pid="34" name="FSC#COOELAK@1.1001:FileRefOU">
    <vt:lpwstr/>
  </property>
  <property fmtid="{D5CDD505-2E9C-101B-9397-08002B2CF9AE}" pid="35" name="FSC#COOELAK@1.1001:Organization">
    <vt:lpwstr/>
  </property>
  <property fmtid="{D5CDD505-2E9C-101B-9397-08002B2CF9AE}" pid="36" name="FSC#COOELAK@1.1001:Owner">
    <vt:lpwstr>Herr Bruno</vt:lpwstr>
  </property>
  <property fmtid="{D5CDD505-2E9C-101B-9397-08002B2CF9AE}" pid="37" name="FSC#COOELAK@1.1001:OwnerExtension">
    <vt:lpwstr>+41 91 820 64 95</vt:lpwstr>
  </property>
  <property fmtid="{D5CDD505-2E9C-101B-9397-08002B2CF9AE}" pid="38" name="FSC#COOELAK@1.1001:OwnerFaxExtension">
    <vt:lpwstr>+41 91 826 49 28</vt:lpwstr>
  </property>
  <property fmtid="{D5CDD505-2E9C-101B-9397-08002B2CF9AE}" pid="39" name="FSC#COOELAK@1.1001:DispatchedBy">
    <vt:lpwstr/>
  </property>
  <property fmtid="{D5CDD505-2E9C-101B-9397-08002B2CF9AE}" pid="40" name="FSC#COOELAK@1.1001:DispatchedAt">
    <vt:lpwstr/>
  </property>
  <property fmtid="{D5CDD505-2E9C-101B-9397-08002B2CF9AE}" pid="41" name="FSC#COOELAK@1.1001:ApprovedBy">
    <vt:lpwstr/>
  </property>
  <property fmtid="{D5CDD505-2E9C-101B-9397-08002B2CF9AE}" pid="42" name="FSC#COOELAK@1.1001:ApprovedAt">
    <vt:lpwstr/>
  </property>
  <property fmtid="{D5CDD505-2E9C-101B-9397-08002B2CF9AE}" pid="43" name="FSC#COOELAK@1.1001:Department">
    <vt:lpwstr>Divisione italiana Sezione Traduzione e redazione</vt:lpwstr>
  </property>
  <property fmtid="{D5CDD505-2E9C-101B-9397-08002B2CF9AE}" pid="44" name="FSC#COOELAK@1.1001:CreatedAt">
    <vt:lpwstr>14.07.2014</vt:lpwstr>
  </property>
  <property fmtid="{D5CDD505-2E9C-101B-9397-08002B2CF9AE}" pid="45" name="FSC#COOELAK@1.1001:OU">
    <vt:lpwstr>Servizi linguistici centrali Divisione italiana</vt:lpwstr>
  </property>
  <property fmtid="{D5CDD505-2E9C-101B-9397-08002B2CF9AE}" pid="46" name="FSC#COOELAK@1.1001:Priority">
    <vt:lpwstr/>
  </property>
  <property fmtid="{D5CDD505-2E9C-101B-9397-08002B2CF9AE}" pid="47" name="FSC#COOELAK@1.1001:ObjBarCode">
    <vt:lpwstr>*COO.2094.301.6.2137405*</vt:lpwstr>
  </property>
  <property fmtid="{D5CDD505-2E9C-101B-9397-08002B2CF9AE}" pid="48" name="FSC#COOELAK@1.1001:RefBarCode">
    <vt:lpwstr/>
  </property>
  <property fmtid="{D5CDD505-2E9C-101B-9397-08002B2CF9AE}" pid="49" name="FSC#COOELAK@1.1001:FileRefBarCode">
    <vt:lpwstr>*0958e-2010*</vt:lpwstr>
  </property>
  <property fmtid="{D5CDD505-2E9C-101B-9397-08002B2CF9AE}" pid="50" name="FSC#COOELAK@1.1001:ExternalRef">
    <vt:lpwstr/>
  </property>
  <property fmtid="{D5CDD505-2E9C-101B-9397-08002B2CF9AE}" pid="51" name="FSC#COOELAK@1.1001:IncomingNumber">
    <vt:lpwstr/>
  </property>
  <property fmtid="{D5CDD505-2E9C-101B-9397-08002B2CF9AE}" pid="52" name="FSC#COOELAK@1.1001:IncomingSubject">
    <vt:lpwstr/>
  </property>
  <property fmtid="{D5CDD505-2E9C-101B-9397-08002B2CF9AE}" pid="53" name="FSC#COOELAK@1.1001:ProcessResponsible">
    <vt:lpwstr/>
  </property>
  <property fmtid="{D5CDD505-2E9C-101B-9397-08002B2CF9AE}" pid="54" name="FSC#COOELAK@1.1001:ProcessResponsiblePhone">
    <vt:lpwstr/>
  </property>
  <property fmtid="{D5CDD505-2E9C-101B-9397-08002B2CF9AE}" pid="55" name="FSC#COOELAK@1.1001:ProcessResponsibleMail">
    <vt:lpwstr/>
  </property>
  <property fmtid="{D5CDD505-2E9C-101B-9397-08002B2CF9AE}" pid="56" name="FSC#COOELAK@1.1001:ProcessResponsibleFax">
    <vt:lpwstr/>
  </property>
  <property fmtid="{D5CDD505-2E9C-101B-9397-08002B2CF9AE}" pid="57" name="FSC#COOELAK@1.1001:ApproverFirstName">
    <vt:lpwstr/>
  </property>
  <property fmtid="{D5CDD505-2E9C-101B-9397-08002B2CF9AE}" pid="58" name="FSC#COOELAK@1.1001:ApproverSurName">
    <vt:lpwstr/>
  </property>
  <property fmtid="{D5CDD505-2E9C-101B-9397-08002B2CF9AE}" pid="59" name="FSC#COOELAK@1.1001:ApproverTitle">
    <vt:lpwstr/>
  </property>
  <property fmtid="{D5CDD505-2E9C-101B-9397-08002B2CF9AE}" pid="60" name="FSC#COOELAK@1.1001:ExternalDate">
    <vt:lpwstr/>
  </property>
  <property fmtid="{D5CDD505-2E9C-101B-9397-08002B2CF9AE}" pid="61" name="FSC#COOELAK@1.1001:SettlementApprovedAt">
    <vt:lpwstr/>
  </property>
  <property fmtid="{D5CDD505-2E9C-101B-9397-08002B2CF9AE}" pid="62" name="FSC#COOELAK@1.1001:BaseNumber">
    <vt:lpwstr/>
  </property>
  <property fmtid="{D5CDD505-2E9C-101B-9397-08002B2CF9AE}" pid="63" name="FSC#COOELAK@1.1001:CurrentUserRolePos">
    <vt:lpwstr>Collaboratore responsabile</vt:lpwstr>
  </property>
  <property fmtid="{D5CDD505-2E9C-101B-9397-08002B2CF9AE}" pid="64" name="FSC#COOELAK@1.1001:CurrentUserEmail">
    <vt:lpwstr>Giovanni.Bruno@bk.admin.ch</vt:lpwstr>
  </property>
  <property fmtid="{D5CDD505-2E9C-101B-9397-08002B2CF9AE}" pid="65" name="FSC#ELAKGOV@1.1001:PersonalSubjGender">
    <vt:lpwstr/>
  </property>
  <property fmtid="{D5CDD505-2E9C-101B-9397-08002B2CF9AE}" pid="66" name="FSC#ELAKGOV@1.1001:PersonalSubjFirstName">
    <vt:lpwstr/>
  </property>
  <property fmtid="{D5CDD505-2E9C-101B-9397-08002B2CF9AE}" pid="67" name="FSC#ELAKGOV@1.1001:PersonalSubjSurName">
    <vt:lpwstr/>
  </property>
  <property fmtid="{D5CDD505-2E9C-101B-9397-08002B2CF9AE}" pid="68" name="FSC#ELAKGOV@1.1001:PersonalSubjSalutation">
    <vt:lpwstr/>
  </property>
  <property fmtid="{D5CDD505-2E9C-101B-9397-08002B2CF9AE}" pid="69" name="FSC#ELAKGOV@1.1001:PersonalSubjAddress">
    <vt:lpwstr/>
  </property>
  <property fmtid="{D5CDD505-2E9C-101B-9397-08002B2CF9AE}" pid="70" name="FSC#FSCFOLIO@1.1001:docpropproject">
    <vt:lpwstr/>
  </property>
</Properties>
</file>