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9" w:type="dxa"/>
        <w:tblInd w:w="-59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31"/>
        <w:gridCol w:w="4678"/>
      </w:tblGrid>
      <w:tr>
        <w:trPr>
          <w:cantSplit/>
          <w:trHeight w:hRule="exact" w:val="1814"/>
        </w:trPr>
        <w:tc>
          <w:tcPr>
            <w:tcW w:w="5131" w:type="dxa"/>
          </w:tcPr>
          <w:p>
            <w:pPr>
              <w:widowControl w:val="0"/>
              <w:suppressAutoHyphens/>
              <w:spacing w:line="200" w:lineRule="atLeast"/>
              <w:rPr>
                <w:sz w:val="15"/>
                <w:szCs w:val="20"/>
                <w:lang w:val="it-CH"/>
              </w:rPr>
            </w:pPr>
            <w:r>
              <w:rPr>
                <w:noProof/>
                <w:sz w:val="15"/>
                <w:szCs w:val="20"/>
                <w:lang w:val="en-US"/>
              </w:rPr>
              <w:drawing>
                <wp:inline distT="0" distB="0" distL="0" distR="0">
                  <wp:extent cx="1981200" cy="6477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uppressAutoHyphens/>
              <w:spacing w:line="200" w:lineRule="atLeast"/>
              <w:rPr>
                <w:sz w:val="15"/>
                <w:szCs w:val="20"/>
                <w:lang w:val="it-CH"/>
              </w:rPr>
            </w:pPr>
          </w:p>
        </w:tc>
        <w:tc>
          <w:tcPr>
            <w:tcW w:w="4678" w:type="dxa"/>
          </w:tcPr>
          <w:p>
            <w:pPr>
              <w:widowControl w:val="0"/>
              <w:suppressAutoHyphens/>
              <w:spacing w:before="60" w:after="100" w:line="200" w:lineRule="atLeast"/>
              <w:contextualSpacing/>
              <w:rPr>
                <w:rFonts w:ascii="Arial" w:hAnsi="Arial" w:cs="Arial"/>
                <w:b/>
                <w:sz w:val="15"/>
                <w:szCs w:val="20"/>
                <w:lang w:val="it-CH"/>
              </w:rPr>
            </w:pPr>
            <w:r>
              <w:rPr>
                <w:rFonts w:cs="Times New Roman"/>
                <w:b/>
                <w:sz w:val="15"/>
                <w:szCs w:val="20"/>
                <w:lang w:val="de-CH"/>
              </w:rPr>
              <w:fldChar w:fldCharType="begin"/>
            </w:r>
            <w:r>
              <w:rPr>
                <w:rFonts w:cs="Times New Roman"/>
                <w:b/>
                <w:sz w:val="15"/>
                <w:szCs w:val="20"/>
                <w:lang w:val="it-CH"/>
              </w:rPr>
              <w:instrText xml:space="preserve"> DOCVARIABLE "BITVM_Departement" \* MERGEFORMAT </w:instrText>
            </w:r>
            <w:r>
              <w:rPr>
                <w:rFonts w:cs="Times New Roman"/>
                <w:b/>
                <w:sz w:val="15"/>
                <w:szCs w:val="20"/>
                <w:lang w:val="de-CH"/>
              </w:rPr>
              <w:fldChar w:fldCharType="end"/>
            </w:r>
            <w:r>
              <w:rPr>
                <w:rFonts w:cs="Times New Roman"/>
                <w:b/>
                <w:sz w:val="15"/>
                <w:szCs w:val="20"/>
                <w:lang w:val="it-CH"/>
              </w:rPr>
              <w:br/>
            </w:r>
            <w:r>
              <w:rPr>
                <w:rFonts w:ascii="Arial" w:hAnsi="Arial" w:cs="Arial"/>
                <w:b/>
                <w:sz w:val="15"/>
                <w:szCs w:val="20"/>
                <w:lang w:val="it-CH"/>
              </w:rPr>
              <w:t>Servizi linguistici centrali, Divisione italiana</w:t>
            </w:r>
          </w:p>
          <w:p>
            <w:pPr>
              <w:widowControl w:val="0"/>
              <w:suppressAutoHyphens/>
              <w:spacing w:line="200" w:lineRule="atLeast"/>
              <w:rPr>
                <w:rFonts w:ascii="Arial" w:hAnsi="Arial" w:cs="Arial"/>
                <w:sz w:val="15"/>
                <w:szCs w:val="20"/>
                <w:lang w:val="it-CH"/>
              </w:rPr>
            </w:pPr>
            <w:r>
              <w:rPr>
                <w:rFonts w:ascii="Arial" w:hAnsi="Arial" w:cs="Arial"/>
                <w:b/>
                <w:sz w:val="15"/>
                <w:szCs w:val="20"/>
                <w:lang w:val="it-CH"/>
              </w:rPr>
              <w:t>Seminario Bellinzona 2017</w:t>
            </w:r>
            <w:r>
              <w:rPr>
                <w:rFonts w:ascii="Arial" w:hAnsi="Arial" w:cs="Arial"/>
                <w:sz w:val="15"/>
                <w:szCs w:val="20"/>
                <w:lang w:val="it-CH"/>
              </w:rPr>
              <w:t xml:space="preserve"> – Andrea Di Gregorio</w:t>
            </w:r>
          </w:p>
          <w:p>
            <w:pPr>
              <w:widowControl w:val="0"/>
              <w:suppressAutoHyphens/>
              <w:spacing w:before="240" w:line="240" w:lineRule="auto"/>
              <w:rPr>
                <w:b/>
                <w:sz w:val="36"/>
                <w:szCs w:val="36"/>
                <w:lang w:val="it-CH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it-CH"/>
              </w:rPr>
              <w:t xml:space="preserve">  </w:t>
            </w:r>
            <w:r>
              <w:rPr>
                <w:rFonts w:ascii="Arial" w:hAnsi="Arial" w:cs="Arial"/>
                <w:b/>
                <w:sz w:val="28"/>
                <w:szCs w:val="28"/>
                <w:lang w:val="it-CH"/>
              </w:rPr>
              <w:t>«Ese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  <w:lang w:val="it-CH"/>
              </w:rPr>
              <w:t>rcizi di italiano»</w:t>
            </w:r>
            <w:r>
              <w:rPr>
                <w:rFonts w:ascii="Arial" w:hAnsi="Arial" w:cs="Arial"/>
                <w:b/>
                <w:sz w:val="36"/>
                <w:szCs w:val="36"/>
                <w:lang w:val="it-CH"/>
              </w:rPr>
              <w:br/>
            </w:r>
            <w:r>
              <w:rPr>
                <w:rFonts w:ascii="Arial" w:hAnsi="Arial" w:cs="Arial"/>
                <w:b/>
                <w:lang w:val="it-CH"/>
              </w:rPr>
              <w:t xml:space="preserve">                    Dettato</w:t>
            </w:r>
          </w:p>
          <w:p>
            <w:pPr>
              <w:widowControl w:val="0"/>
              <w:suppressAutoHyphens/>
              <w:spacing w:line="200" w:lineRule="atLeast"/>
              <w:rPr>
                <w:sz w:val="15"/>
                <w:szCs w:val="20"/>
                <w:lang w:val="it-CH"/>
              </w:rPr>
            </w:pPr>
          </w:p>
        </w:tc>
      </w:tr>
    </w:tbl>
    <w:p>
      <w:pPr>
        <w:rPr>
          <w:b/>
          <w:sz w:val="28"/>
          <w:szCs w:val="28"/>
          <w:lang w:val="it-CH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Dettato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pStyle w:val="Paragrafoelenco"/>
        <w:numPr>
          <w:ilvl w:val="0"/>
          <w:numId w:val="2"/>
        </w:numPr>
        <w:spacing w:line="360" w:lineRule="auto"/>
        <w:ind w:left="397" w:hanging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L’innocua boccetta di collutorio è in una delle valigie, tra le camicie.</w:t>
      </w:r>
    </w:p>
    <w:p>
      <w:pPr>
        <w:pStyle w:val="Paragrafoelenco"/>
        <w:numPr>
          <w:ilvl w:val="0"/>
          <w:numId w:val="2"/>
        </w:numPr>
        <w:spacing w:line="360" w:lineRule="auto"/>
        <w:ind w:left="397" w:hanging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piogge sono arrivate. Basta scorrazzare qua e là o ci bagniamo.</w:t>
      </w:r>
    </w:p>
    <w:p>
      <w:pPr>
        <w:pStyle w:val="Paragrafoelenco"/>
        <w:numPr>
          <w:ilvl w:val="0"/>
          <w:numId w:val="2"/>
        </w:numPr>
        <w:spacing w:line="360" w:lineRule="auto"/>
        <w:ind w:left="397" w:hanging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 ti do torto: il parmigiano grattugiato va proprio nella formaggiera.</w:t>
      </w:r>
    </w:p>
    <w:p>
      <w:pPr>
        <w:pStyle w:val="Paragrafoelenco"/>
        <w:numPr>
          <w:ilvl w:val="0"/>
          <w:numId w:val="2"/>
        </w:numPr>
        <w:spacing w:line="360" w:lineRule="auto"/>
        <w:ind w:left="397" w:hanging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Antonio mi dà un consiglio: “Da’ qua le briciole che le metto da parte”. </w:t>
      </w:r>
    </w:p>
    <w:p>
      <w:pPr>
        <w:pStyle w:val="Paragrafoelenco"/>
        <w:numPr>
          <w:ilvl w:val="0"/>
          <w:numId w:val="2"/>
        </w:numPr>
        <w:spacing w:line="360" w:lineRule="auto"/>
        <w:ind w:left="397" w:hanging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 tre anni fa che dissi: “Che tempo fa? O, Dio: fa’ che domani sia bello!”</w:t>
      </w:r>
    </w:p>
    <w:p>
      <w:pPr>
        <w:pStyle w:val="Paragrafoelenco"/>
        <w:numPr>
          <w:ilvl w:val="0"/>
          <w:numId w:val="2"/>
        </w:numPr>
        <w:spacing w:line="360" w:lineRule="auto"/>
        <w:ind w:left="397" w:hanging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 c’è dubbio: qui di ingegneri non ce ne sono stati; non ce n’è oggi, né domani.</w:t>
      </w:r>
    </w:p>
    <w:p>
      <w:pPr>
        <w:pStyle w:val="Paragrafoelenco"/>
        <w:numPr>
          <w:ilvl w:val="0"/>
          <w:numId w:val="2"/>
        </w:numPr>
        <w:spacing w:line="360" w:lineRule="auto"/>
        <w:ind w:left="397" w:hanging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L’aereo accelerò e lasciò in fretta l’aeroporto per cause meteorologiche.</w:t>
      </w:r>
    </w:p>
    <w:p>
      <w:pPr>
        <w:pStyle w:val="Paragrafoelenco"/>
        <w:numPr>
          <w:ilvl w:val="0"/>
          <w:numId w:val="2"/>
        </w:numPr>
        <w:spacing w:line="360" w:lineRule="auto"/>
        <w:ind w:left="397" w:hanging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 realizzato con efficienza la mostra di beneficenza.</w:t>
      </w:r>
    </w:p>
    <w:p>
      <w:pPr>
        <w:pStyle w:val="Paragrafoelenco"/>
        <w:numPr>
          <w:ilvl w:val="0"/>
          <w:numId w:val="2"/>
        </w:numPr>
        <w:spacing w:line="360" w:lineRule="auto"/>
        <w:ind w:left="397" w:hanging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 chiacchiere dell’usciere, finora preferisco quelle del pasticciere.</w:t>
      </w:r>
    </w:p>
    <w:p>
      <w:pPr>
        <w:pStyle w:val="Paragrafoelenco"/>
        <w:numPr>
          <w:ilvl w:val="0"/>
          <w:numId w:val="2"/>
        </w:numPr>
        <w:spacing w:line="360" w:lineRule="auto"/>
        <w:ind w:left="397" w:hanging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 scuote, lo percuote, e poi copre con unguento le sue ferite.</w:t>
      </w:r>
    </w:p>
    <w:sect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01E11"/>
    <w:multiLevelType w:val="hybridMultilevel"/>
    <w:tmpl w:val="5304154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E7131A"/>
    <w:multiLevelType w:val="hybridMultilevel"/>
    <w:tmpl w:val="C6A2E9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537C71-8A3F-4D11-A7DC-52C34D03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Pr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Di Gregorio</dc:creator>
  <cp:keywords/>
  <dc:description/>
  <cp:lastModifiedBy>Egger Jean-Luc BK</cp:lastModifiedBy>
  <cp:revision>10</cp:revision>
  <cp:lastPrinted>2017-10-13T09:33:00Z</cp:lastPrinted>
  <dcterms:created xsi:type="dcterms:W3CDTF">2017-10-04T12:21:00Z</dcterms:created>
  <dcterms:modified xsi:type="dcterms:W3CDTF">2017-10-13T09:57:00Z</dcterms:modified>
</cp:coreProperties>
</file>