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proofErr w:type="spellStart"/>
      <w:r>
        <w:t>Arrêté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rPr>
          <w:lang w:val="fr-CH"/>
        </w:rPr>
        <w:br/>
      </w:r>
      <w:r>
        <w:rPr>
          <w:highlight w:val="lightGray"/>
        </w:rPr>
        <w:t>[</w:t>
      </w:r>
      <w:proofErr w:type="spellStart"/>
      <w:r>
        <w:rPr>
          <w:highlight w:val="lightGray"/>
        </w:rPr>
        <w:t>Titre</w:t>
      </w:r>
      <w:proofErr w:type="spellEnd"/>
      <w:r>
        <w:rPr>
          <w:highlight w:val="lightGray"/>
        </w:rPr>
        <w:t xml:space="preserve"> de </w:t>
      </w:r>
      <w:proofErr w:type="spellStart"/>
      <w:r>
        <w:rPr>
          <w:highlight w:val="lightGray"/>
        </w:rPr>
        <w:t>l’acte</w:t>
      </w:r>
      <w:proofErr w:type="spellEnd"/>
      <w:r>
        <w:rPr>
          <w:highlight w:val="lightGray"/>
        </w:rPr>
        <w:t>]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</w:pPr>
      <w:r>
        <w:rPr>
          <w:lang w:val="fr-CH"/>
        </w:rPr>
        <w:t>vu l’art. …,</w:t>
      </w:r>
      <w:r>
        <w:rPr>
          <w:lang w:val="fr-CH"/>
        </w:rPr>
        <w:br/>
      </w:r>
      <w:proofErr w:type="spellStart"/>
      <w:r>
        <w:t>vu</w:t>
      </w:r>
      <w:proofErr w:type="spellEnd"/>
      <w:r>
        <w:t xml:space="preserve"> le </w:t>
      </w:r>
      <w:proofErr w:type="spellStart"/>
      <w:r>
        <w:t>message</w:t>
      </w:r>
      <w:proofErr w:type="spellEnd"/>
      <w:r>
        <w:t xml:space="preserve"> du Conseil </w:t>
      </w:r>
      <w:proofErr w:type="spellStart"/>
      <w:r>
        <w:t>fédéral</w:t>
      </w:r>
      <w:proofErr w:type="spellEnd"/>
      <w:r>
        <w:t xml:space="preserve"> du </w:t>
      </w:r>
      <w:r>
        <w:rPr>
          <w:highlight w:val="lightGray"/>
        </w:rPr>
        <w:t>[date]</w:t>
      </w:r>
      <w:r>
        <w:rPr>
          <w:rStyle w:val="Funotenzeichen"/>
        </w:rPr>
        <w:footnoteReference w:id="2"/>
      </w:r>
      <w: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1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Texte ..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Texte ..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2</w:t>
      </w:r>
    </w:p>
    <w:p>
      <w:pPr>
        <w:pStyle w:val="Struktur1"/>
        <w:rPr>
          <w:lang w:val="fr-CH" w:eastAsia="de-CH"/>
        </w:rPr>
      </w:pPr>
      <w:r>
        <w:rPr>
          <w:lang w:val="fr-CH" w:eastAsia="de-CH"/>
        </w:rPr>
        <w:t>Le présent arrêté n’est pas sujet au référendum.</w:t>
      </w:r>
    </w:p>
    <w:p>
      <w:pPr>
        <w:pStyle w:val="Struktur1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>]. AF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>]. AF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318</Characters>
  <Application>Microsoft Office Word</Application>
  <DocSecurity>4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2024-04-24T07:18:00Z</dcterms:created>
  <dcterms:modified xsi:type="dcterms:W3CDTF">2024-04-24T07:18:00Z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