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Bundesbeschluss</w:t>
      </w:r>
      <w:r>
        <w:tab/>
      </w:r>
      <w:r>
        <w:rPr>
          <w:b w:val="0"/>
          <w:i/>
          <w:sz w:val="18"/>
        </w:rPr>
        <w:t>Entwurf</w:t>
      </w:r>
      <w:r>
        <w:br/>
        <w:t xml:space="preserve">über die Genehmigung </w:t>
      </w:r>
      <w:r>
        <w:rPr>
          <w:highlight w:val="lightGray"/>
        </w:rPr>
        <w:t>[Titel des völkerrechtlichen Vertrags]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 xml:space="preserve">Die Bundesversammlung der Schweizerischen Eidgenossenschaft, </w:t>
      </w:r>
    </w:p>
    <w:p>
      <w:pPr>
        <w:pStyle w:val="Ingress"/>
      </w:pPr>
      <w:r>
        <w:t>gestützt auf die Artikel 54 Absatz 1 und 166 Absatz 2 der Bundesverfassung (BV)</w:t>
      </w:r>
      <w:r>
        <w:rPr>
          <w:vertAlign w:val="superscript"/>
        </w:rPr>
        <w:footnoteReference w:id="2"/>
      </w:r>
      <w:r>
        <w:t>,</w:t>
      </w:r>
      <w:r>
        <w:br/>
        <w:t xml:space="preserve">nach Einsicht in die Botschaft des Bundesrates vom </w:t>
      </w:r>
      <w:r>
        <w:rPr>
          <w:highlight w:val="lightGray"/>
        </w:rPr>
        <w:t>[Datum]</w:t>
      </w:r>
      <w:r>
        <w:rPr>
          <w:vertAlign w:val="superscript"/>
        </w:rPr>
        <w:footnoteReference w:id="3"/>
      </w:r>
      <w:r>
        <w:t>,</w:t>
      </w:r>
    </w:p>
    <w:p>
      <w:pPr>
        <w:pStyle w:val="Verb"/>
      </w:pPr>
      <w:r>
        <w:t>beschliesst:</w:t>
      </w:r>
    </w:p>
    <w:p>
      <w:pPr>
        <w:pStyle w:val="berschrift9"/>
      </w:pPr>
      <w:r>
        <w:rPr>
          <w:b/>
        </w:rPr>
        <w:t>Art. 1</w:t>
      </w:r>
    </w:p>
    <w:p>
      <w:pPr>
        <w:pStyle w:val="Absatz"/>
      </w:pPr>
      <w:r>
        <w:rPr>
          <w:position w:val="4"/>
          <w:sz w:val="13"/>
        </w:rPr>
        <w:t>1</w:t>
      </w:r>
      <w:r>
        <w:t> </w:t>
      </w:r>
      <w:r>
        <w:rPr>
          <w:highlight w:val="lightGray"/>
        </w:rPr>
        <w:t>[Titel des völkerrechtlichen Vertrags]</w:t>
      </w:r>
      <w:r>
        <w:rPr>
          <w:rStyle w:val="Funotenzeichen"/>
        </w:rPr>
        <w:footnoteReference w:id="4"/>
      </w:r>
      <w:r>
        <w:t xml:space="preserve"> wird genehmigt.</w:t>
      </w:r>
    </w:p>
    <w:p>
      <w:pPr>
        <w:pStyle w:val="Absatz"/>
      </w:pPr>
      <w:r>
        <w:rPr>
          <w:position w:val="4"/>
          <w:sz w:val="13"/>
        </w:rPr>
        <w:t>2</w:t>
      </w:r>
      <w:r>
        <w:t> …</w:t>
      </w:r>
    </w:p>
    <w:p>
      <w:pPr>
        <w:pStyle w:val="berschrift9"/>
      </w:pPr>
      <w:r>
        <w:rPr>
          <w:b/>
        </w:rPr>
        <w:t>Art. 2</w:t>
      </w:r>
    </w:p>
    <w:p>
      <w:pPr>
        <w:pStyle w:val="Absatz"/>
      </w:pPr>
      <w:r>
        <w:t>Dieser Beschluss wird Volk und Ständen zur Abstimmung unterbreitet (Art. 140 Abs. 1 Bst. b BV).</w:t>
      </w:r>
    </w:p>
    <w:p>
      <w:pPr>
        <w:pStyle w:val="Absatzkurs"/>
      </w:pPr>
      <w:r>
        <w:t>oder</w:t>
      </w:r>
    </w:p>
    <w:p>
      <w:pPr>
        <w:pStyle w:val="Absatz"/>
      </w:pPr>
      <w:r>
        <w:t xml:space="preserve">Dieser Beschluss untersteht dem fakultativen Referendum (Art. 141 Abs. 1 Bst. d Ziff. </w:t>
      </w:r>
      <w:r>
        <w:rPr>
          <w:highlight w:val="lightGray"/>
        </w:rPr>
        <w:t>[1, 2 oder 3]</w:t>
      </w:r>
      <w:r>
        <w:t xml:space="preserve"> BV).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101</w:t>
      </w:r>
      <w:r>
        <w:t xml:space="preserve"> 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 xml:space="preserve">SR …; </w:t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</w:t>
    </w:r>
    <w:r>
      <w:rPr>
        <w:highlight w:val="lightGray"/>
      </w:rPr>
      <w:t>Titel des völkerrechtlichen Vertrags]</w:t>
    </w:r>
    <w:r>
      <w:t>. BB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2024-04-23T12:52:00Z</dcterms:created>
  <dcterms:modified xsi:type="dcterms:W3CDTF">2024-04-23T12:52:00Z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